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40" w:firstLineChars="200"/>
        <w:rPr>
          <w:rFonts w:ascii="仿宋" w:hAnsi="仿宋" w:eastAsia="仿宋"/>
          <w:b/>
          <w:color w:val="FF0000"/>
          <w:sz w:val="52"/>
          <w:szCs w:val="52"/>
        </w:rPr>
      </w:pPr>
      <w:r>
        <w:rPr>
          <w:sz w:val="32"/>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1656080</wp:posOffset>
                </wp:positionV>
                <wp:extent cx="6120130" cy="28575"/>
                <wp:effectExtent l="0" t="13970" r="13970" b="14605"/>
                <wp:wrapNone/>
                <wp:docPr id="12" name="直接连接符 12"/>
                <wp:cNvGraphicFramePr/>
                <a:graphic xmlns:a="http://schemas.openxmlformats.org/drawingml/2006/main">
                  <a:graphicData uri="http://schemas.microsoft.com/office/word/2010/wordprocessingShape">
                    <wps:wsp>
                      <wps:cNvCnPr/>
                      <wps:spPr>
                        <a:xfrm flipV="1">
                          <a:off x="0" y="0"/>
                          <a:ext cx="6120130" cy="2857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130.4pt;height:2.25pt;width:481.9pt;mso-position-horizontal:center;mso-position-horizontal-relative:page;mso-position-vertical-relative:margin;z-index:251660288;mso-width-relative:page;mso-height-relative:page;" filled="f" stroked="t" coordsize="21600,21600" o:gfxdata="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YiYJ2QAAAAgBAAAPAAAAAAAAAAEAIAAAACIAAABkcnMv&#10;ZG93bnJldi54bWxQSwECFAAUAAAACACHTuJAyEDllAICAAADBAAADgAAAAAAAAABACAAAAAoAQAA&#10;ZHJzL2Uyb0RvYy54bWxQSwUGAAAAAAYABgBZAQAAnAU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14:textFill>
            <w14:solidFill>
              <w14:schemeClr w14:val="tx1"/>
            </w14:solidFill>
          </w14:textFill>
        </w:rPr>
        <w:t>202</w:t>
      </w:r>
      <w:r>
        <w:rPr>
          <w:rFonts w:hint="eastAsia" w:ascii="宋体" w:hAnsi="宋体" w:eastAsia="宋体"/>
          <w:b/>
          <w:color w:val="000000" w:themeColor="text1"/>
          <w:sz w:val="30"/>
          <w:szCs w:val="30"/>
          <w:lang w:val="en-US" w:eastAsia="zh-CN"/>
          <w14:textFill>
            <w14:solidFill>
              <w14:schemeClr w14:val="tx1"/>
            </w14:solidFill>
          </w14:textFill>
        </w:rPr>
        <w:t>2</w:t>
      </w:r>
      <w:r>
        <w:rPr>
          <w:rFonts w:hint="eastAsia" w:ascii="宋体" w:hAnsi="宋体" w:eastAsia="宋体"/>
          <w:b/>
          <w:color w:val="000000" w:themeColor="text1"/>
          <w:sz w:val="30"/>
          <w:szCs w:val="30"/>
          <w14:textFill>
            <w14:solidFill>
              <w14:schemeClr w14:val="tx1"/>
            </w14:solidFill>
          </w14:textFill>
        </w:rPr>
        <w:t>年</w:t>
      </w:r>
      <w:r>
        <w:rPr>
          <w:rFonts w:hint="eastAsia" w:ascii="宋体" w:hAnsi="宋体" w:eastAsia="宋体"/>
          <w:b/>
          <w:color w:val="000000" w:themeColor="text1"/>
          <w:sz w:val="30"/>
          <w:szCs w:val="30"/>
          <w:lang w:val="en-US" w:eastAsia="zh-CN"/>
          <w14:textFill>
            <w14:solidFill>
              <w14:schemeClr w14:val="tx1"/>
            </w14:solidFill>
          </w14:textFill>
        </w:rPr>
        <w:t>1</w:t>
      </w:r>
      <w:r>
        <w:rPr>
          <w:rFonts w:hint="eastAsia" w:ascii="宋体" w:hAnsi="宋体" w:eastAsia="宋体"/>
          <w:b/>
          <w:color w:val="000000" w:themeColor="text1"/>
          <w:sz w:val="30"/>
          <w:szCs w:val="30"/>
          <w14:textFill>
            <w14:solidFill>
              <w14:schemeClr w14:val="tx1"/>
            </w14:solidFill>
          </w14:textFill>
        </w:rPr>
        <w:t>月</w:t>
      </w:r>
      <w:r>
        <w:rPr>
          <w:rFonts w:hint="eastAsia" w:ascii="宋体" w:hAnsi="宋体" w:eastAsia="宋体"/>
          <w:b/>
          <w:color w:val="000000" w:themeColor="text1"/>
          <w:sz w:val="30"/>
          <w:szCs w:val="30"/>
          <w:lang w:val="en-US" w:eastAsia="zh-CN"/>
          <w14:textFill>
            <w14:solidFill>
              <w14:schemeClr w14:val="tx1"/>
            </w14:solidFill>
          </w14:textFill>
        </w:rPr>
        <w:t>20</w:t>
      </w:r>
      <w:r>
        <w:rPr>
          <w:rFonts w:hint="eastAsia" w:ascii="宋体" w:hAnsi="宋体" w:eastAsia="宋体"/>
          <w:b/>
          <w:color w:val="000000" w:themeColor="text1"/>
          <w:sz w:val="30"/>
          <w:szCs w:val="30"/>
          <w14:textFill>
            <w14:solidFill>
              <w14:schemeClr w14:val="tx1"/>
            </w14:solidFill>
          </w14:textFill>
        </w:rPr>
        <w:t>日</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第</w:t>
      </w:r>
      <w:r>
        <w:rPr>
          <w:rFonts w:hint="eastAsia" w:ascii="宋体" w:hAnsi="宋体" w:eastAsia="宋体"/>
          <w:b/>
          <w:color w:val="000000" w:themeColor="text1"/>
          <w:sz w:val="30"/>
          <w:szCs w:val="30"/>
          <w:lang w:val="en-US" w:eastAsia="zh-CN"/>
          <w14:textFill>
            <w14:solidFill>
              <w14:schemeClr w14:val="tx1"/>
            </w14:solidFill>
          </w14:textFill>
        </w:rPr>
        <w:t>1</w:t>
      </w:r>
      <w:r>
        <w:rPr>
          <w:rFonts w:hint="eastAsia" w:ascii="宋体" w:hAnsi="宋体" w:eastAsia="宋体"/>
          <w:b/>
          <w:color w:val="000000" w:themeColor="text1"/>
          <w:sz w:val="30"/>
          <w:szCs w:val="30"/>
          <w14:textFill>
            <w14:solidFill>
              <w14:schemeClr w14:val="tx1"/>
            </w14:solidFill>
          </w14:textFill>
        </w:rPr>
        <w:t>期(总第</w:t>
      </w:r>
      <w:r>
        <w:rPr>
          <w:rFonts w:hint="eastAsia" w:ascii="宋体" w:hAnsi="宋体" w:eastAsia="宋体"/>
          <w:b/>
          <w:color w:val="000000" w:themeColor="text1"/>
          <w:sz w:val="30"/>
          <w:szCs w:val="30"/>
          <w:lang w:val="en-US" w:eastAsia="zh-CN"/>
          <w14:textFill>
            <w14:solidFill>
              <w14:schemeClr w14:val="tx1"/>
            </w14:solidFill>
          </w14:textFill>
        </w:rPr>
        <w:t>25</w:t>
      </w:r>
      <w:r>
        <w:rPr>
          <w:rFonts w:hint="eastAsia" w:ascii="宋体" w:hAnsi="宋体" w:eastAsia="宋体"/>
          <w:b/>
          <w:color w:val="000000" w:themeColor="text1"/>
          <w:sz w:val="30"/>
          <w:szCs w:val="30"/>
          <w14:textFill>
            <w14:solidFill>
              <w14:schemeClr w14:val="tx1"/>
            </w14:solidFill>
          </w14:textFill>
        </w:rPr>
        <w:t>期)</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秘书处编印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jc w:val="both"/>
        <w:textAlignment w:val="auto"/>
        <w:rPr>
          <w:rFonts w:hint="eastAsia" w:ascii="宋体" w:hAnsi="宋体" w:eastAsia="宋体" w:cs="宋体"/>
          <w:color w:val="625858"/>
          <w:sz w:val="32"/>
          <w:szCs w:val="32"/>
        </w:rPr>
      </w:pPr>
    </w:p>
    <w:p>
      <w:pPr>
        <w:rPr>
          <w:rFonts w:hint="eastAsia" w:ascii="宋体" w:hAnsi="宋体" w:eastAsia="宋体" w:cs="宋体"/>
          <w:color w:val="0070C0"/>
          <w:kern w:val="0"/>
          <w:sz w:val="32"/>
          <w:szCs w:val="32"/>
          <w:lang w:val="en-US" w:eastAsia="zh-CN" w:bidi="ar"/>
        </w:rPr>
      </w:pPr>
      <w:r>
        <w:rPr>
          <w:rFonts w:hint="eastAsia" w:ascii="宋体" w:hAnsi="宋体" w:eastAsia="宋体" w:cs="宋体"/>
          <w:color w:val="0070C0"/>
          <w:kern w:val="0"/>
          <w:sz w:val="32"/>
          <w:szCs w:val="32"/>
          <w:lang w:val="en-US" w:eastAsia="zh-CN" w:bidi="ar"/>
        </w:rPr>
        <w:t>❉❉❉❉❉❉❉❉❉❉❉❉❉❉❉❉❉❉❉❉❉❉❉❉❉❉❉❉</w:t>
      </w:r>
    </w:p>
    <w:p>
      <w:pPr>
        <w:rPr>
          <w:rFonts w:hint="eastAsia" w:ascii="宋体" w:hAnsi="宋体" w:cs="宋体"/>
          <w:b/>
          <w:bCs/>
          <w:color w:val="FF0000"/>
          <w:sz w:val="44"/>
          <w:szCs w:val="44"/>
          <w:u w:val="none"/>
          <w:lang w:val="en-US" w:eastAsia="zh-CN"/>
        </w:rPr>
      </w:pPr>
      <w:r>
        <w:rPr>
          <w:rFonts w:hint="eastAsia" w:ascii="微软雅黑" w:hAnsi="微软雅黑" w:eastAsia="微软雅黑" w:cs="微软雅黑"/>
          <w:b/>
          <w:bCs/>
          <w:color w:val="FF0000"/>
          <w:sz w:val="36"/>
          <w:szCs w:val="36"/>
          <w:u w:val="none"/>
          <w:lang w:val="en-US" w:eastAsia="zh-CN"/>
        </w:rPr>
        <w:t xml:space="preserve">喜报：热烈祝贺协会会员单位福建省五建建设集团有限公司承建晋江市科教园区一期(启动区)工程荣获“国家优质工程奖”！                          </w:t>
      </w:r>
      <w:r>
        <w:rPr>
          <w:rFonts w:hint="eastAsia" w:ascii="宋体" w:hAnsi="宋体" w:cs="宋体"/>
          <w:b/>
          <w:bCs/>
          <w:color w:val="FF0000"/>
          <w:sz w:val="44"/>
          <w:szCs w:val="44"/>
          <w:u w:val="none"/>
          <w:lang w:val="en-US" w:eastAsia="zh-CN"/>
        </w:rPr>
        <w:t xml:space="preserve"> </w:t>
      </w:r>
    </w:p>
    <w:p>
      <w:pPr>
        <w:rPr>
          <w:rFonts w:hint="eastAsia" w:ascii="宋体" w:hAnsi="宋体" w:eastAsia="宋体" w:cs="宋体"/>
          <w:color w:val="0070C0"/>
          <w:kern w:val="0"/>
          <w:sz w:val="32"/>
          <w:szCs w:val="32"/>
          <w:lang w:val="en-US" w:eastAsia="zh-CN" w:bidi="ar"/>
        </w:rPr>
      </w:pPr>
      <w:r>
        <w:rPr>
          <w:rFonts w:hint="eastAsia" w:ascii="宋体" w:hAnsi="宋体" w:eastAsia="宋体" w:cs="宋体"/>
          <w:color w:val="0070C0"/>
          <w:kern w:val="0"/>
          <w:sz w:val="32"/>
          <w:szCs w:val="32"/>
          <w:lang w:val="en-US" w:eastAsia="zh-CN" w:bidi="ar"/>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640" w:firstLineChars="200"/>
        <w:jc w:val="both"/>
        <w:textAlignment w:val="auto"/>
        <w:rPr>
          <w:rFonts w:hint="eastAsia"/>
          <w:sz w:val="32"/>
          <w:szCs w:val="32"/>
          <w:lang w:val="en-US" w:eastAsia="zh-CN"/>
        </w:rPr>
      </w:pPr>
      <w:r>
        <w:rPr>
          <w:rFonts w:hint="eastAsia"/>
          <w:sz w:val="32"/>
          <w:szCs w:val="32"/>
          <w:lang w:val="en-US" w:eastAsia="zh-CN"/>
        </w:rPr>
        <w:drawing>
          <wp:anchor distT="0" distB="0" distL="114300" distR="114300" simplePos="0" relativeHeight="251661312" behindDoc="0" locked="0" layoutInCell="1" allowOverlap="1">
            <wp:simplePos x="0" y="0"/>
            <wp:positionH relativeFrom="column">
              <wp:posOffset>-75565</wp:posOffset>
            </wp:positionH>
            <wp:positionV relativeFrom="paragraph">
              <wp:posOffset>257175</wp:posOffset>
            </wp:positionV>
            <wp:extent cx="3846830" cy="3340100"/>
            <wp:effectExtent l="0" t="0" r="1270" b="12700"/>
            <wp:wrapSquare wrapText="bothSides"/>
            <wp:docPr id="10" name="图片 10"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1"/>
                    <pic:cNvPicPr>
                      <a:picLocks noChangeAspect="1"/>
                    </pic:cNvPicPr>
                  </pic:nvPicPr>
                  <pic:blipFill>
                    <a:blip r:embed="rId6"/>
                    <a:srcRect t="38485" b="4297"/>
                    <a:stretch>
                      <a:fillRect/>
                    </a:stretch>
                  </pic:blipFill>
                  <pic:spPr>
                    <a:xfrm>
                      <a:off x="0" y="0"/>
                      <a:ext cx="3846830" cy="3340100"/>
                    </a:xfrm>
                    <a:prstGeom prst="rect">
                      <a:avLst/>
                    </a:prstGeom>
                  </pic:spPr>
                </pic:pic>
              </a:graphicData>
            </a:graphic>
          </wp:anchor>
        </w:drawing>
      </w:r>
      <w:r>
        <w:rPr>
          <w:rFonts w:hint="eastAsia"/>
          <w:sz w:val="32"/>
          <w:szCs w:val="32"/>
          <w:lang w:val="en-US" w:eastAsia="zh-CN"/>
        </w:rPr>
        <w:t>2021年12月6日，从中国施工企业管理协会发布的《关于表彰2020―2021年度</w:t>
      </w:r>
      <w:bookmarkStart w:id="5" w:name="_GoBack"/>
      <w:bookmarkEnd w:id="5"/>
      <w:r>
        <w:rPr>
          <w:rFonts w:hint="eastAsia"/>
          <w:sz w:val="32"/>
          <w:szCs w:val="32"/>
          <w:lang w:val="en-US" w:eastAsia="zh-CN"/>
        </w:rPr>
        <w:t>国家优质工程奖的决定》文件获悉，由协会会员单位福建省五建建设集团公司承建的晋江市科教园区一期(启动区)工程喜获“</w:t>
      </w:r>
      <w:bookmarkStart w:id="0" w:name="OLE_LINK6"/>
      <w:r>
        <w:rPr>
          <w:rFonts w:hint="eastAsia"/>
          <w:sz w:val="32"/>
          <w:szCs w:val="32"/>
          <w:lang w:val="en-US" w:eastAsia="zh-CN"/>
        </w:rPr>
        <w:t>国家优质工程奖</w:t>
      </w:r>
      <w:bookmarkEnd w:id="0"/>
      <w:r>
        <w:rPr>
          <w:rFonts w:hint="eastAsia"/>
          <w:sz w:val="32"/>
          <w:szCs w:val="32"/>
          <w:lang w:val="en-US" w:eastAsia="zh-CN"/>
        </w:rPr>
        <w:t>”，这也是省五建集团公司捧获的第3个“国家优质工程奖”，该奖项系我国工程建设领域跨行业、跨专业的国家级质量奖。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640" w:firstLineChars="200"/>
        <w:jc w:val="both"/>
        <w:textAlignment w:val="auto"/>
        <w:rPr>
          <w:rFonts w:hint="eastAsia" w:ascii="宋体" w:hAnsi="宋体" w:cs="宋体"/>
          <w:color w:val="333333"/>
          <w:kern w:val="0"/>
          <w:sz w:val="32"/>
          <w:szCs w:val="32"/>
          <w:lang w:val="en-US" w:eastAsia="zh-CN" w:bidi="ar"/>
        </w:rPr>
      </w:pPr>
      <w:r>
        <w:rPr>
          <w:rFonts w:hint="eastAsia"/>
          <w:sz w:val="32"/>
          <w:szCs w:val="32"/>
          <w:lang w:val="en-US" w:eastAsia="zh-CN"/>
        </w:rPr>
        <w:t>晋江市科教园区一期(启动区)工程项目位于晋江市金井镇，项目总投资额为11.42亿元，总建筑面积约18.4万㎡，共计12栋单位工程，由教学实验区、沿湖公建区配套生活区、体育运动区及附属配套的园林景观、水利工程、市政工程等组成。该项目汲取闽南传统元素，采用红砖和白色花岗岩，通过现代的手法呈现出“红砖白石”既展现现代派，又传承闽南建筑文化，是福建省重点项目、泉州市形象窗口项目。在施工中，省五建集团始终以“工匠精神”为指引，紧紧围绕创建国家优质工程和省市优质工程目标，抽派技术强手，严格按照规范标准、科学精心施工，同时强化施工全过程的质量监控和安全文明施工管理，最终按期和高质量完成了施工任务，充分展现出国有建筑企业在文明施工、科技应用、创建优质精品工程等方面的示范、带动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0" w:firstLine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4249420" cy="2837815"/>
            <wp:effectExtent l="0" t="0" r="17780" b="635"/>
            <wp:docPr id="13" name="图片 13"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2"/>
                    <pic:cNvPicPr>
                      <a:picLocks noChangeAspect="1"/>
                    </pic:cNvPicPr>
                  </pic:nvPicPr>
                  <pic:blipFill>
                    <a:blip r:embed="rId7"/>
                    <a:stretch>
                      <a:fillRect/>
                    </a:stretch>
                  </pic:blipFill>
                  <pic:spPr>
                    <a:xfrm>
                      <a:off x="0" y="0"/>
                      <a:ext cx="4249420" cy="283781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0" w:firstLineChars="0"/>
        <w:jc w:val="center"/>
        <w:textAlignment w:val="auto"/>
        <w:rPr>
          <w:rFonts w:hint="eastAsia"/>
          <w:sz w:val="32"/>
          <w:szCs w:val="32"/>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640" w:firstLineChars="200"/>
        <w:jc w:val="both"/>
        <w:textAlignment w:val="auto"/>
        <w:rPr>
          <w:rFonts w:hint="eastAsia"/>
          <w:sz w:val="32"/>
          <w:szCs w:val="32"/>
          <w:lang w:val="en-US" w:eastAsia="zh-CN"/>
        </w:rPr>
      </w:pPr>
      <w:r>
        <w:rPr>
          <w:rFonts w:hint="eastAsia"/>
          <w:sz w:val="32"/>
          <w:szCs w:val="32"/>
          <w:lang w:val="en-US" w:eastAsia="zh-CN"/>
        </w:rPr>
        <w:t>据悉，晋江市科教园区一期(启动区)工程在质量创优和科技创新方面硕果累累，曾荣获泉州市“刺桐杯”优质工程奖、福建省“闽江杯”优质工程奖、“华东地区优质工程奖”等省市级优质工程奖；在施工工艺方面，形成的《外墙面出砖入石装饰施工工法》获得福建省“省级工法”；此外，该项目还取得获得全国BIM大赛奖2项、国家专利3项以及福建省绿色施工、建筑业十项新技术应用示范工程等多项荣誉。</w:t>
      </w:r>
      <w:bookmarkStart w:id="1" w:name="OLE_LINK8"/>
    </w:p>
    <w:bookmarkEnd w:id="1"/>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宋体" w:hAnsi="宋体" w:eastAsia="宋体" w:cs="宋体"/>
          <w:b/>
          <w:bCs/>
          <w:color w:val="FF0000"/>
          <w:sz w:val="32"/>
          <w:szCs w:val="32"/>
          <w:lang w:val="en-US" w:eastAsia="zh-CN"/>
        </w:rPr>
      </w:pPr>
      <w:r>
        <w:rPr>
          <w:rFonts w:hint="eastAsia" w:ascii="宋体" w:hAnsi="宋体" w:eastAsia="宋体" w:cs="宋体"/>
          <w:b/>
          <w:bCs/>
          <w:color w:val="FF0000"/>
          <w:sz w:val="32"/>
          <w:szCs w:val="32"/>
          <w:lang w:eastAsia="zh-CN"/>
        </w:rPr>
        <w:drawing>
          <wp:inline distT="0" distB="0" distL="114300" distR="114300">
            <wp:extent cx="4307840" cy="2953385"/>
            <wp:effectExtent l="0" t="0" r="16510" b="18415"/>
            <wp:docPr id="14" name="图片 1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3"/>
                    <pic:cNvPicPr>
                      <a:picLocks noChangeAspect="1"/>
                    </pic:cNvPicPr>
                  </pic:nvPicPr>
                  <pic:blipFill>
                    <a:blip r:embed="rId8"/>
                    <a:srcRect l="3773"/>
                    <a:stretch>
                      <a:fillRect/>
                    </a:stretch>
                  </pic:blipFill>
                  <pic:spPr>
                    <a:xfrm>
                      <a:off x="0" y="0"/>
                      <a:ext cx="4307840" cy="2953385"/>
                    </a:xfrm>
                    <a:prstGeom prst="rect">
                      <a:avLst/>
                    </a:prstGeom>
                  </pic:spPr>
                </pic:pic>
              </a:graphicData>
            </a:graphic>
          </wp:inline>
        </w:drawing>
      </w:r>
    </w:p>
    <w:p>
      <w:pPr>
        <w:rPr>
          <w:rFonts w:hint="eastAsia" w:ascii="宋体" w:hAnsi="宋体" w:eastAsia="宋体" w:cs="宋体"/>
          <w:b/>
          <w:bCs/>
          <w:color w:val="C5E0B4" w:themeColor="accent6" w:themeTint="66"/>
          <w:sz w:val="44"/>
          <w:szCs w:val="44"/>
          <w:u w:val="none"/>
          <w:lang w:val="en-US" w:eastAsia="zh-CN"/>
          <w14:textFill>
            <w14:solidFill>
              <w14:schemeClr w14:val="accent6">
                <w14:lumMod w14:val="40000"/>
                <w14:lumOff w14:val="60000"/>
              </w14:schemeClr>
            </w14:solidFill>
          </w14:textFill>
        </w:rPr>
      </w:pPr>
    </w:p>
    <w:p>
      <w:pPr>
        <w:rPr>
          <w:rFonts w:hint="eastAsia" w:ascii="宋体" w:hAnsi="宋体" w:eastAsia="宋体" w:cs="宋体"/>
          <w:b/>
          <w:bCs/>
          <w:color w:val="C5E0B4" w:themeColor="accent6" w:themeTint="66"/>
          <w:sz w:val="44"/>
          <w:szCs w:val="44"/>
          <w:u w:val="none"/>
          <w:lang w:val="en-US" w:eastAsia="zh-CN"/>
          <w14:textFill>
            <w14:solidFill>
              <w14:schemeClr w14:val="accent6">
                <w14:lumMod w14:val="40000"/>
                <w14:lumOff w14:val="60000"/>
              </w14:schemeClr>
            </w14:solidFill>
          </w14:textFill>
        </w:rPr>
      </w:pPr>
      <w:r>
        <w:rPr>
          <w:rFonts w:hint="eastAsia" w:ascii="宋体" w:hAnsi="宋体" w:eastAsia="宋体" w:cs="宋体"/>
          <w:b/>
          <w:bCs/>
          <w:color w:val="C5E0B4" w:themeColor="accent6" w:themeTint="66"/>
          <w:sz w:val="44"/>
          <w:szCs w:val="44"/>
          <w:u w:val="none"/>
          <w:lang w:val="en-US" w:eastAsia="zh-CN"/>
          <w14:textFill>
            <w14:solidFill>
              <w14:schemeClr w14:val="accent6">
                <w14:lumMod w14:val="40000"/>
                <w14:lumOff w14:val="60000"/>
              </w14:schemeClr>
            </w14:solidFill>
          </w14:textFill>
        </w:rPr>
        <w:t>░░░░░░░░░░░░░░░░░░░░░░░░░░░░</w:t>
      </w:r>
    </w:p>
    <w:p>
      <w:pPr>
        <w:jc w:val="center"/>
        <w:rPr>
          <w:rFonts w:hint="eastAsia" w:asciiTheme="majorEastAsia" w:hAnsiTheme="majorEastAsia" w:eastAsiaTheme="majorEastAsia" w:cstheme="majorEastAsia"/>
          <w:b/>
          <w:bCs/>
          <w:color w:val="FF0000"/>
          <w:sz w:val="44"/>
          <w:szCs w:val="44"/>
          <w:u w:val="none"/>
          <w:lang w:val="en-US" w:eastAsia="zh-CN"/>
        </w:rPr>
      </w:pPr>
      <w:r>
        <w:rPr>
          <w:rFonts w:hint="eastAsia" w:asciiTheme="majorEastAsia" w:hAnsiTheme="majorEastAsia" w:eastAsiaTheme="majorEastAsia" w:cstheme="majorEastAsia"/>
          <w:b/>
          <w:bCs/>
          <w:color w:val="FF0000"/>
          <w:sz w:val="44"/>
          <w:szCs w:val="44"/>
          <w:u w:val="none"/>
          <w:lang w:val="en-US" w:eastAsia="zh-CN"/>
        </w:rPr>
        <w:t>喜报：热烈祝贺协会会员单位中国建筑第八</w:t>
      </w:r>
    </w:p>
    <w:p>
      <w:pPr>
        <w:jc w:val="center"/>
        <w:rPr>
          <w:rFonts w:hint="eastAsia" w:asciiTheme="majorEastAsia" w:hAnsiTheme="majorEastAsia" w:eastAsiaTheme="majorEastAsia" w:cstheme="majorEastAsia"/>
          <w:b/>
          <w:bCs/>
          <w:color w:val="FF0000"/>
          <w:sz w:val="44"/>
          <w:szCs w:val="44"/>
          <w:u w:val="none"/>
          <w:lang w:val="en-US" w:eastAsia="zh-CN"/>
        </w:rPr>
      </w:pPr>
      <w:r>
        <w:rPr>
          <w:rFonts w:hint="eastAsia" w:asciiTheme="majorEastAsia" w:hAnsiTheme="majorEastAsia" w:eastAsiaTheme="majorEastAsia" w:cstheme="majorEastAsia"/>
          <w:b/>
          <w:bCs/>
          <w:color w:val="FF0000"/>
          <w:sz w:val="44"/>
          <w:szCs w:val="44"/>
          <w:u w:val="none"/>
          <w:lang w:val="en-US" w:eastAsia="zh-CN"/>
        </w:rPr>
        <w:t>工程局有限公司承建的石狮世茂海西博览馆</w:t>
      </w:r>
    </w:p>
    <w:p>
      <w:pPr>
        <w:jc w:val="center"/>
        <w:rPr>
          <w:rFonts w:hint="eastAsia" w:asciiTheme="majorEastAsia" w:hAnsiTheme="majorEastAsia" w:eastAsiaTheme="majorEastAsia" w:cstheme="majorEastAsia"/>
          <w:b/>
          <w:bCs/>
          <w:color w:val="FF0000"/>
          <w:sz w:val="44"/>
          <w:szCs w:val="44"/>
          <w:u w:val="none"/>
          <w:lang w:val="en-US" w:eastAsia="zh-CN"/>
        </w:rPr>
      </w:pPr>
      <w:r>
        <w:rPr>
          <w:rFonts w:hint="eastAsia" w:asciiTheme="majorEastAsia" w:hAnsiTheme="majorEastAsia" w:eastAsiaTheme="majorEastAsia" w:cstheme="majorEastAsia"/>
          <w:b/>
          <w:bCs/>
          <w:color w:val="FF0000"/>
          <w:sz w:val="44"/>
          <w:szCs w:val="44"/>
          <w:u w:val="none"/>
          <w:lang w:val="en-US" w:eastAsia="zh-CN"/>
        </w:rPr>
        <w:t>项目荣获“国家优质工程奖”</w:t>
      </w:r>
    </w:p>
    <w:p>
      <w:pP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pPr>
      <w:r>
        <w:rPr>
          <w:rFonts w:hint="eastAsia" w:ascii="宋体" w:hAnsi="宋体" w:eastAsia="宋体" w:cs="宋体"/>
          <w:b/>
          <w:bCs/>
          <w:color w:val="C5E0B4" w:themeColor="accent6" w:themeTint="66"/>
          <w:sz w:val="44"/>
          <w:szCs w:val="44"/>
          <w:u w:val="none"/>
          <w:lang w:val="en-US" w:eastAsia="zh-CN"/>
          <w14:textFill>
            <w14:solidFill>
              <w14:schemeClr w14:val="accent6">
                <w14:lumMod w14:val="40000"/>
                <w14:lumOff w14:val="60000"/>
              </w14:schemeClr>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640" w:firstLineChars="200"/>
        <w:jc w:val="both"/>
        <w:textAlignment w:val="auto"/>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近日，中国施工企业管理协会公布了《关于表彰2020―2021年度国家优质工程奖的决定》，由协会会员单位中国建筑第八工程局总承包施工的</w:t>
      </w:r>
      <w:bookmarkStart w:id="2" w:name="OLE_LINK7"/>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石狮世茂海西博览馆项目</w:t>
      </w:r>
      <w:bookmarkEnd w:id="2"/>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荣获“国家优质工程奖”。</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drawing>
          <wp:inline distT="0" distB="0" distL="114300" distR="114300">
            <wp:extent cx="4677410" cy="2960370"/>
            <wp:effectExtent l="0" t="0" r="8890" b="1143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9"/>
                    <a:stretch>
                      <a:fillRect/>
                    </a:stretch>
                  </pic:blipFill>
                  <pic:spPr>
                    <a:xfrm>
                      <a:off x="0" y="0"/>
                      <a:ext cx="4677410" cy="2960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微软雅黑" w:hAnsi="微软雅黑" w:eastAsia="微软雅黑" w:cs="微软雅黑"/>
          <w:b w:val="0"/>
          <w:bCs w:val="0"/>
          <w:color w:val="FFFF00"/>
          <w:sz w:val="32"/>
          <w:szCs w:val="32"/>
          <w:u w:val="none"/>
          <w:lang w:val="en-US" w:eastAsia="zh-CN"/>
        </w:rPr>
      </w:pPr>
      <w:r>
        <w:rPr>
          <w:rFonts w:hint="eastAsia" w:ascii="微软雅黑" w:hAnsi="微软雅黑" w:eastAsia="微软雅黑" w:cs="微软雅黑"/>
          <w:b w:val="0"/>
          <w:bCs w:val="0"/>
          <w:color w:val="FFFF00"/>
          <w:sz w:val="32"/>
          <w:szCs w:val="32"/>
          <w:u w:val="none"/>
          <w:lang w:val="en-US" w:eastAsia="zh-CN"/>
        </w:rPr>
        <w:drawing>
          <wp:anchor distT="0" distB="0" distL="114300" distR="114300" simplePos="0" relativeHeight="251662336" behindDoc="0" locked="0" layoutInCell="1" allowOverlap="1">
            <wp:simplePos x="0" y="0"/>
            <wp:positionH relativeFrom="column">
              <wp:posOffset>1512570</wp:posOffset>
            </wp:positionH>
            <wp:positionV relativeFrom="paragraph">
              <wp:posOffset>894715</wp:posOffset>
            </wp:positionV>
            <wp:extent cx="4389120" cy="2988945"/>
            <wp:effectExtent l="0" t="0" r="11430" b="1905"/>
            <wp:wrapSquare wrapText="bothSides"/>
            <wp:docPr id="16" name="图片 1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7"/>
                    <pic:cNvPicPr>
                      <a:picLocks noChangeAspect="1"/>
                    </pic:cNvPicPr>
                  </pic:nvPicPr>
                  <pic:blipFill>
                    <a:blip r:embed="rId10"/>
                    <a:stretch>
                      <a:fillRect/>
                    </a:stretch>
                  </pic:blipFill>
                  <pic:spPr>
                    <a:xfrm>
                      <a:off x="0" y="0"/>
                      <a:ext cx="4389120" cy="2988945"/>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石狮世茂海西博览馆工程于2018年8月24日开工，2020年5月30日竣工。项目占地11482平方米，由拱辰楼(主楼)春华楼、馆、展厅、书院、文创空间、库房、中心、地下车库、公交首末站等组成。该工程项目突出亮点：闽南传统建筑风格，彰显闽南大厝之秀丽精美；剪瓷之美，传承特色工匠文化；宫殿建筑，再现皇家宫殿之恢宏气度；工程节能环保设计；技术创新及成果。中建八局立足海西市场，面对造型复杂、精度把控困难，结构坡度大、构件繁多、吊装难度大等难题和挑战。不忘初心，砥砺前行，继续发扬工匠精神，解决了一个又一个难题，将该项目打造成精品工程，为海西建设作出了贡献。</w:t>
      </w:r>
    </w:p>
    <w:p>
      <w:pPr>
        <w:rPr>
          <w:rFonts w:hint="eastAsia" w:ascii="微软雅黑" w:hAnsi="微软雅黑" w:eastAsia="微软雅黑" w:cs="微软雅黑"/>
          <w:b w:val="0"/>
          <w:bCs w:val="0"/>
          <w:color w:val="FFFF00"/>
          <w:sz w:val="32"/>
          <w:szCs w:val="32"/>
          <w:u w:val="none"/>
          <w:lang w:val="en-US" w:eastAsia="zh-CN"/>
        </w:rPr>
      </w:pPr>
    </w:p>
    <w:p>
      <w:pPr>
        <w:rPr>
          <w:rFonts w:hint="eastAsia" w:ascii="微软雅黑" w:hAnsi="微软雅黑" w:eastAsia="微软雅黑" w:cs="微软雅黑"/>
          <w:b/>
          <w:bCs/>
          <w:color w:val="8FAADC" w:themeColor="accent5" w:themeTint="99"/>
          <w:sz w:val="32"/>
          <w:szCs w:val="32"/>
          <w:u w:val="none"/>
          <w:lang w:val="en-US" w:eastAsia="zh-CN"/>
          <w14:textFill>
            <w14:solidFill>
              <w14:schemeClr w14:val="accent5">
                <w14:lumMod w14:val="60000"/>
                <w14:lumOff w14:val="40000"/>
              </w14:schemeClr>
            </w14:solidFill>
          </w14:textFill>
        </w:rPr>
      </w:pPr>
      <w:r>
        <w:rPr>
          <w:rFonts w:hint="eastAsia" w:ascii="微软雅黑" w:hAnsi="微软雅黑" w:eastAsia="微软雅黑" w:cs="微软雅黑"/>
          <w:b/>
          <w:bCs/>
          <w:color w:val="8FAADC" w:themeColor="accent5" w:themeTint="99"/>
          <w:sz w:val="32"/>
          <w:szCs w:val="32"/>
          <w:u w:val="none"/>
          <w:lang w:val="en-US" w:eastAsia="zh-CN"/>
          <w14:textFill>
            <w14:solidFill>
              <w14:schemeClr w14:val="accent5">
                <w14:lumMod w14:val="60000"/>
                <w14:lumOff w14:val="40000"/>
              </w14:schemeClr>
            </w14:solidFill>
          </w14:textFill>
        </w:rPr>
        <w:t>▷▷▷▷▷▷▷▷▷▷▷▷▷▷◁◁◁◁◁◁◁◁◁◁◁◁◁◁</w:t>
      </w:r>
    </w:p>
    <w:p>
      <w:pPr>
        <w:rPr>
          <w:rFonts w:hint="eastAsia" w:asciiTheme="majorEastAsia" w:hAnsiTheme="majorEastAsia" w:eastAsiaTheme="majorEastAsia" w:cstheme="majorEastAsia"/>
          <w:b/>
          <w:bCs/>
          <w:color w:val="FF0000"/>
          <w:sz w:val="44"/>
          <w:szCs w:val="44"/>
          <w:u w:val="none"/>
          <w:lang w:val="en-US" w:eastAsia="zh-CN"/>
        </w:rPr>
      </w:pPr>
      <w:bookmarkStart w:id="3" w:name="OLE_LINK3"/>
      <w:r>
        <w:rPr>
          <w:rFonts w:hint="eastAsia" w:asciiTheme="majorEastAsia" w:hAnsiTheme="majorEastAsia" w:eastAsiaTheme="majorEastAsia" w:cstheme="majorEastAsia"/>
          <w:b/>
          <w:bCs/>
          <w:color w:val="FF0000"/>
          <w:sz w:val="44"/>
          <w:szCs w:val="44"/>
          <w:u w:val="none"/>
          <w:lang w:val="en-US" w:eastAsia="zh-CN"/>
        </w:rPr>
        <w:t>喜报：热烈祝贺协会会员单位中建海峡建设发展有限公司承建</w:t>
      </w:r>
      <w:bookmarkEnd w:id="3"/>
      <w:r>
        <w:rPr>
          <w:rFonts w:hint="eastAsia" w:asciiTheme="majorEastAsia" w:hAnsiTheme="majorEastAsia" w:eastAsiaTheme="majorEastAsia" w:cstheme="majorEastAsia"/>
          <w:b/>
          <w:bCs/>
          <w:color w:val="FF0000"/>
          <w:sz w:val="44"/>
          <w:szCs w:val="44"/>
          <w:u w:val="none"/>
          <w:lang w:val="en-US" w:eastAsia="zh-CN"/>
        </w:rPr>
        <w:t xml:space="preserve">晋江市第二体育中心工程项目获2020～2021年度中国建设工程鲁班奖(国家优质工程)殊荣！ </w:t>
      </w:r>
    </w:p>
    <w:p>
      <w:pPr>
        <w:rPr>
          <w:rFonts w:hint="eastAsia" w:ascii="微软雅黑" w:hAnsi="微软雅黑" w:eastAsia="微软雅黑" w:cs="微软雅黑"/>
          <w:b/>
          <w:bCs/>
          <w:color w:val="00B0F0"/>
          <w:sz w:val="32"/>
          <w:szCs w:val="32"/>
          <w:u w:val="none"/>
          <w:lang w:val="en-US" w:eastAsia="zh-CN"/>
        </w:rPr>
      </w:pPr>
      <w:r>
        <w:rPr>
          <w:rFonts w:hint="eastAsia" w:ascii="微软雅黑" w:hAnsi="微软雅黑" w:eastAsia="微软雅黑" w:cs="微软雅黑"/>
          <w:b/>
          <w:bCs/>
          <w:color w:val="00B0F0"/>
          <w:sz w:val="32"/>
          <w:szCs w:val="32"/>
          <w:u w:val="none"/>
          <w:lang w:val="en-US" w:eastAsia="zh-CN"/>
        </w:rPr>
        <w:t>▷▷▷▷▷▷▷▷▷▷▷▷▷▷◁◁◁◁◁◁◁◁◁◁◁◁◁◁</w:t>
      </w:r>
    </w:p>
    <w:p>
      <w:pPr>
        <w:rPr>
          <w:rFonts w:hint="default" w:ascii="微软雅黑" w:hAnsi="微软雅黑" w:eastAsia="微软雅黑" w:cs="微软雅黑"/>
          <w:b/>
          <w:bCs/>
          <w:color w:val="00B0F0"/>
          <w:sz w:val="32"/>
          <w:szCs w:val="32"/>
          <w:u w:val="none"/>
          <w:lang w:val="en-US" w:eastAsia="zh-CN"/>
        </w:rPr>
      </w:pPr>
      <w:r>
        <w:rPr>
          <w:rFonts w:hint="default" w:ascii="微软雅黑" w:hAnsi="微软雅黑" w:eastAsia="微软雅黑" w:cs="微软雅黑"/>
          <w:b/>
          <w:bCs/>
          <w:color w:val="00B0F0"/>
          <w:sz w:val="32"/>
          <w:szCs w:val="32"/>
          <w:u w:val="none"/>
          <w:lang w:val="en-US" w:eastAsia="zh-CN"/>
        </w:rPr>
        <w:drawing>
          <wp:inline distT="0" distB="0" distL="114300" distR="114300">
            <wp:extent cx="5743575" cy="1975485"/>
            <wp:effectExtent l="0" t="0" r="9525" b="5715"/>
            <wp:docPr id="17" name="图片 17" descr="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11"/>
                    <pic:cNvPicPr>
                      <a:picLocks noChangeAspect="1"/>
                    </pic:cNvPicPr>
                  </pic:nvPicPr>
                  <pic:blipFill>
                    <a:blip r:embed="rId11"/>
                    <a:srcRect t="12684"/>
                    <a:stretch>
                      <a:fillRect/>
                    </a:stretch>
                  </pic:blipFill>
                  <pic:spPr>
                    <a:xfrm>
                      <a:off x="0" y="0"/>
                      <a:ext cx="5743575" cy="197548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672" w:firstLineChars="200"/>
        <w:jc w:val="both"/>
        <w:rPr>
          <w:rFonts w:hint="eastAsia" w:asciiTheme="minorEastAsia" w:hAnsiTheme="minorEastAsia" w:eastAsiaTheme="minorEastAsia" w:cstheme="minorEastAsia"/>
          <w:spacing w:val="8"/>
          <w:sz w:val="32"/>
          <w:szCs w:val="32"/>
        </w:rPr>
      </w:pPr>
      <w:r>
        <w:rPr>
          <w:rFonts w:hint="eastAsia" w:asciiTheme="minorEastAsia" w:hAnsiTheme="minorEastAsia" w:eastAsiaTheme="minorEastAsia" w:cstheme="minorEastAsia"/>
          <w:spacing w:val="8"/>
          <w:sz w:val="32"/>
          <w:szCs w:val="32"/>
        </w:rPr>
        <w:t>近日获悉，中国建筑业协会公布的2020～2021年度</w:t>
      </w:r>
      <w:r>
        <w:rPr>
          <w:rStyle w:val="6"/>
          <w:rFonts w:hint="eastAsia" w:asciiTheme="minorEastAsia" w:hAnsiTheme="minorEastAsia" w:eastAsiaTheme="minorEastAsia" w:cstheme="minorEastAsia"/>
          <w:b w:val="0"/>
          <w:bCs/>
          <w:color w:val="000000" w:themeColor="text1"/>
          <w:spacing w:val="8"/>
          <w:sz w:val="32"/>
          <w:szCs w:val="32"/>
          <w14:textFill>
            <w14:solidFill>
              <w14:schemeClr w14:val="tx1"/>
            </w14:solidFill>
          </w14:textFill>
        </w:rPr>
        <w:t>第二批</w:t>
      </w:r>
      <w:r>
        <w:rPr>
          <w:rFonts w:hint="eastAsia" w:asciiTheme="minorEastAsia" w:hAnsiTheme="minorEastAsia" w:eastAsiaTheme="minorEastAsia" w:cstheme="minorEastAsia"/>
          <w:b w:val="0"/>
          <w:bCs/>
          <w:color w:val="000000" w:themeColor="text1"/>
          <w:spacing w:val="8"/>
          <w:sz w:val="32"/>
          <w:szCs w:val="32"/>
          <w14:textFill>
            <w14:solidFill>
              <w14:schemeClr w14:val="tx1"/>
            </w14:solidFill>
          </w14:textFill>
        </w:rPr>
        <w:t>中</w:t>
      </w:r>
      <w:r>
        <w:rPr>
          <w:rFonts w:hint="eastAsia" w:asciiTheme="minorEastAsia" w:hAnsiTheme="minorEastAsia" w:eastAsiaTheme="minorEastAsia" w:cstheme="minorEastAsia"/>
          <w:b w:val="0"/>
          <w:bCs/>
          <w:spacing w:val="8"/>
          <w:sz w:val="32"/>
          <w:szCs w:val="32"/>
        </w:rPr>
        <w:t>国建设</w:t>
      </w:r>
      <w:r>
        <w:rPr>
          <w:rFonts w:hint="eastAsia" w:asciiTheme="minorEastAsia" w:hAnsiTheme="minorEastAsia" w:eastAsiaTheme="minorEastAsia" w:cstheme="minorEastAsia"/>
          <w:spacing w:val="8"/>
          <w:sz w:val="32"/>
          <w:szCs w:val="32"/>
        </w:rPr>
        <w:t>工程鲁班奖(国家优质工程)获奖名单，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Theme="minorEastAsia" w:hAnsiTheme="minorEastAsia" w:eastAsiaTheme="minorEastAsia" w:cstheme="minorEastAsia"/>
          <w:spacing w:val="8"/>
          <w:sz w:val="32"/>
          <w:szCs w:val="32"/>
        </w:rPr>
      </w:pPr>
      <w:r>
        <w:rPr>
          <w:rFonts w:hint="eastAsia" w:asciiTheme="minorEastAsia" w:hAnsiTheme="minorEastAsia" w:eastAsiaTheme="minorEastAsia" w:cstheme="minorEastAsia"/>
          <w:spacing w:val="8"/>
          <w:sz w:val="32"/>
          <w:szCs w:val="32"/>
        </w:rPr>
        <w:t>协会会员单位中建海峡建设发展有限公司承建</w:t>
      </w:r>
      <w:r>
        <w:rPr>
          <w:rFonts w:hint="eastAsia" w:asciiTheme="minorEastAsia" w:hAnsiTheme="minorEastAsia" w:eastAsiaTheme="minorEastAsia" w:cstheme="minorEastAsia"/>
          <w:b w:val="0"/>
          <w:bCs w:val="0"/>
          <w:color w:val="000000" w:themeColor="text1"/>
          <w:spacing w:val="8"/>
          <w:sz w:val="32"/>
          <w:szCs w:val="32"/>
          <w14:textFill>
            <w14:solidFill>
              <w14:schemeClr w14:val="tx1"/>
            </w14:solidFill>
          </w14:textFill>
        </w:rPr>
        <w:t>的</w:t>
      </w:r>
      <w:r>
        <w:rPr>
          <w:rStyle w:val="6"/>
          <w:rFonts w:hint="eastAsia" w:asciiTheme="minorEastAsia" w:hAnsiTheme="minorEastAsia" w:eastAsiaTheme="minorEastAsia" w:cstheme="minorEastAsia"/>
          <w:b w:val="0"/>
          <w:bCs w:val="0"/>
          <w:color w:val="000000" w:themeColor="text1"/>
          <w:spacing w:val="8"/>
          <w:sz w:val="32"/>
          <w:szCs w:val="32"/>
          <w14:textFill>
            <w14:solidFill>
              <w14:schemeClr w14:val="tx1"/>
            </w14:solidFill>
          </w14:textFill>
        </w:rPr>
        <w:t>晋江</w:t>
      </w:r>
      <w:r>
        <w:rPr>
          <w:rStyle w:val="6"/>
          <w:rFonts w:hint="eastAsia" w:asciiTheme="minorEastAsia" w:hAnsiTheme="minorEastAsia" w:eastAsiaTheme="minorEastAsia" w:cstheme="minorEastAsia"/>
          <w:b w:val="0"/>
          <w:bCs/>
          <w:color w:val="000000" w:themeColor="text1"/>
          <w:spacing w:val="8"/>
          <w:sz w:val="32"/>
          <w:szCs w:val="32"/>
          <w14:textFill>
            <w14:solidFill>
              <w14:schemeClr w14:val="tx1"/>
            </w14:solidFill>
          </w14:textFill>
        </w:rPr>
        <w:t>市第二体育中心工程项目</w:t>
      </w:r>
      <w:r>
        <w:rPr>
          <w:rFonts w:hint="eastAsia" w:asciiTheme="minorEastAsia" w:hAnsiTheme="minorEastAsia" w:eastAsiaTheme="minorEastAsia" w:cstheme="minorEastAsia"/>
          <w:b w:val="0"/>
          <w:bCs/>
          <w:color w:val="000000" w:themeColor="text1"/>
          <w:spacing w:val="8"/>
          <w:sz w:val="32"/>
          <w:szCs w:val="32"/>
          <w14:textFill>
            <w14:solidFill>
              <w14:schemeClr w14:val="tx1"/>
            </w14:solidFill>
          </w14:textFill>
        </w:rPr>
        <w:t>榜</w:t>
      </w:r>
      <w:r>
        <w:rPr>
          <w:rFonts w:hint="eastAsia" w:asciiTheme="minorEastAsia" w:hAnsiTheme="minorEastAsia" w:eastAsiaTheme="minorEastAsia" w:cstheme="minorEastAsia"/>
          <w:spacing w:val="8"/>
          <w:sz w:val="32"/>
          <w:szCs w:val="32"/>
        </w:rPr>
        <w:t>上有名！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Theme="minorEastAsia" w:hAnsiTheme="minorEastAsia" w:eastAsiaTheme="minorEastAsia" w:cstheme="minorEastAsia"/>
          <w:spacing w:val="8"/>
          <w:sz w:val="32"/>
          <w:szCs w:val="32"/>
          <w:lang w:eastAsia="zh-CN"/>
        </w:rPr>
      </w:pPr>
      <w:r>
        <w:rPr>
          <w:rFonts w:hint="eastAsia" w:asciiTheme="minorEastAsia" w:hAnsiTheme="minorEastAsia" w:eastAsiaTheme="minorEastAsia" w:cstheme="minorEastAsia"/>
          <w:spacing w:val="8"/>
          <w:sz w:val="32"/>
          <w:szCs w:val="32"/>
          <w:lang w:eastAsia="zh-CN"/>
        </w:rPr>
        <w:drawing>
          <wp:inline distT="0" distB="0" distL="114300" distR="114300">
            <wp:extent cx="4733290" cy="2633980"/>
            <wp:effectExtent l="0" t="0" r="10160" b="13970"/>
            <wp:docPr id="19" name="图片 19" descr="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3"/>
                    <pic:cNvPicPr>
                      <a:picLocks noChangeAspect="1"/>
                    </pic:cNvPicPr>
                  </pic:nvPicPr>
                  <pic:blipFill>
                    <a:blip r:embed="rId12"/>
                    <a:srcRect t="5630" b="1877"/>
                    <a:stretch>
                      <a:fillRect/>
                    </a:stretch>
                  </pic:blipFill>
                  <pic:spPr>
                    <a:xfrm>
                      <a:off x="0" y="0"/>
                      <a:ext cx="4733290" cy="26339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pPr>
      <w:r>
        <w:rPr>
          <w:rFonts w:hint="eastAsia" w:asciiTheme="minorEastAsia" w:hAnsiTheme="minorEastAsia" w:eastAsiaTheme="minorEastAsia" w:cstheme="minorEastAsia"/>
          <w:sz w:val="32"/>
          <w:szCs w:val="32"/>
        </w:rPr>
        <w:t>晋江市第二体育中心项目，</w:t>
      </w:r>
      <w:r>
        <w:rPr>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拥有福建省</w:t>
      </w:r>
      <w:r>
        <w:rPr>
          <w:rStyle w:val="6"/>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最大</w:t>
      </w:r>
      <w:r>
        <w:rPr>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的室内体育馆、福建</w:t>
      </w:r>
      <w:r>
        <w:rPr>
          <w:rStyle w:val="6"/>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首个</w:t>
      </w:r>
      <w:r>
        <w:rPr>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NBA标准体育馆，先后斩获</w:t>
      </w:r>
      <w:r>
        <w:rPr>
          <w:rStyle w:val="6"/>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全球工程建设业卓越BIM大赛最佳实践奖第一名</w:t>
      </w:r>
      <w:r>
        <w:rPr>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w:t>
      </w:r>
      <w:r>
        <w:rPr>
          <w:rStyle w:val="6"/>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中国钢结构金奖</w:t>
      </w:r>
      <w:r>
        <w:rPr>
          <w:rFonts w:hint="eastAsia" w:asciiTheme="minorEastAsia" w:hAnsiTheme="minorEastAsia" w:eastAsiaTheme="minorEastAsia" w:cstheme="minorEastAsia"/>
          <w:b w:val="0"/>
          <w:bCs w:val="0"/>
          <w:color w:val="000000" w:themeColor="text1"/>
          <w:sz w:val="32"/>
          <w:szCs w:val="32"/>
          <w14:textFill>
            <w14:solidFill>
              <w14:schemeClr w14:val="tx1"/>
            </w14:solidFill>
          </w14:textFill>
        </w:rPr>
        <w:t>等重量级大奖。</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晋江市第二体育中心总建筑面积约19.28万平方米总投资约26.4亿元，将作为2022年</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第18届世界中学生运动会</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比赛、开闭幕式以及文化日活动主要场所；项目定位为海峡西岸</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标准最高、专业性最强运营最活跃</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的国际赛事平台，旨在打造成为晋江“体育城市”走向世界的</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金级名片。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pPr>
      <w:r>
        <w:rPr>
          <w:rFonts w:hint="eastAsia" w:asciiTheme="minorEastAsia" w:hAnsiTheme="minorEastAsia" w:eastAsiaTheme="minorEastAsia" w:cstheme="minorEastAsia"/>
          <w:spacing w:val="8"/>
          <w:sz w:val="32"/>
          <w:szCs w:val="32"/>
          <w:lang w:eastAsia="zh-CN"/>
        </w:rPr>
        <w:drawing>
          <wp:inline distT="0" distB="0" distL="114300" distR="114300">
            <wp:extent cx="4274185" cy="2860040"/>
            <wp:effectExtent l="0" t="0" r="12065" b="16510"/>
            <wp:docPr id="18" name="图片 18"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2"/>
                    <pic:cNvPicPr>
                      <a:picLocks noChangeAspect="1"/>
                    </pic:cNvPicPr>
                  </pic:nvPicPr>
                  <pic:blipFill>
                    <a:blip r:embed="rId13"/>
                    <a:srcRect l="7582" t="9568" r="2450"/>
                    <a:stretch>
                      <a:fillRect/>
                    </a:stretch>
                  </pic:blipFill>
                  <pic:spPr>
                    <a:xfrm>
                      <a:off x="0" y="0"/>
                      <a:ext cx="4274185" cy="28600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64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该项目团队积极加大科研投入和攻关力度，秉承着</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“以技术创新引领高质量生产”</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的理念，</w:t>
      </w:r>
      <w:r>
        <w:rPr>
          <w:rFonts w:hint="eastAsia" w:asciiTheme="minorEastAsia" w:hAnsiTheme="minorEastAsia" w:eastAsiaTheme="minorEastAsia" w:cstheme="minorEastAsia"/>
          <w:kern w:val="0"/>
          <w:sz w:val="32"/>
          <w:szCs w:val="32"/>
          <w:lang w:val="en-US" w:eastAsia="zh-CN" w:bidi="ar"/>
        </w:rPr>
        <w:t>先后攻克“双曲面空间结构施工定位”“大体量钢结构整体提升”等施工技术难题解决一个又一个“拦路虎”，创造了福建</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地区</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单次最大体量钢结构</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整体提升</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700吨</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的工程记录，</w:t>
      </w:r>
      <w:r>
        <w:rPr>
          <w:rStyle w:val="6"/>
          <w:rFonts w:hint="eastAsia" w:asciiTheme="minorEastAsia" w:hAnsiTheme="minorEastAsia" w:eastAsiaTheme="minorEastAsia" w:cstheme="minorEastAsia"/>
          <w:b w:val="0"/>
          <w:bCs w:val="0"/>
          <w:color w:val="000000" w:themeColor="text1"/>
          <w:spacing w:val="8"/>
          <w:sz w:val="32"/>
          <w:szCs w:val="32"/>
          <w14:textFill>
            <w14:solidFill>
              <w14:schemeClr w14:val="tx1"/>
            </w14:solidFill>
          </w14:textFill>
        </w:rPr>
        <w:t>全国首例</w:t>
      </w:r>
      <w:r>
        <w:rPr>
          <w:rFonts w:hint="eastAsia" w:asciiTheme="minorEastAsia" w:hAnsiTheme="minorEastAsia" w:eastAsiaTheme="minorEastAsia" w:cstheme="minorEastAsia"/>
          <w:b w:val="0"/>
          <w:bCs w:val="0"/>
          <w:color w:val="000000" w:themeColor="text1"/>
          <w:spacing w:val="8"/>
          <w:sz w:val="32"/>
          <w:szCs w:val="32"/>
          <w14:textFill>
            <w14:solidFill>
              <w14:schemeClr w14:val="tx1"/>
            </w14:solidFill>
          </w14:textFill>
        </w:rPr>
        <w:t>“高空手摇自锁式高空滑动吊篮系统”有效解决了装饰阶段上下同步施工的难题。技术不断创新顺利解决了各项难题，</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充分展现了中建海峡在大型钢结构工程领域的</w:t>
      </w:r>
      <w:r>
        <w:rPr>
          <w:rStyle w:val="6"/>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过硬实力，</w:t>
      </w:r>
      <w:r>
        <w:rPr>
          <w:rFonts w:hint="eastAsia" w:asciiTheme="minorEastAsia" w:hAnsiTheme="minorEastAsia" w:eastAsiaTheme="minorEastAsia" w:cstheme="minorEastAsia"/>
          <w:b w:val="0"/>
          <w:bCs w:val="0"/>
          <w:color w:val="000000" w:themeColor="text1"/>
          <w:kern w:val="0"/>
          <w:sz w:val="32"/>
          <w:szCs w:val="32"/>
          <w:lang w:val="en-US" w:eastAsia="zh-CN" w:bidi="ar"/>
          <w14:textFill>
            <w14:solidFill>
              <w14:schemeClr w14:val="tx1"/>
            </w14:solidFill>
          </w14:textFill>
        </w:rPr>
        <w:t>以“爱拼会赢、敢为人先”的精神，坚持高</w:t>
      </w:r>
      <w:r>
        <w:rPr>
          <w:rFonts w:hint="eastAsia" w:asciiTheme="minorEastAsia" w:hAnsiTheme="minorEastAsia" w:eastAsiaTheme="minorEastAsia" w:cstheme="minorEastAsia"/>
          <w:kern w:val="0"/>
          <w:sz w:val="32"/>
          <w:szCs w:val="32"/>
          <w:lang w:val="en-US" w:eastAsia="zh-CN" w:bidi="ar"/>
        </w:rPr>
        <w:t>质量发展筑就更多高品质工程书写新时代“精彩答卷”！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b/>
          <w:bCs/>
          <w:color w:val="FFC000"/>
          <w:sz w:val="44"/>
          <w:szCs w:val="44"/>
          <w:u w:val="none"/>
          <w:lang w:val="en-US" w:eastAsia="zh-CN"/>
        </w:rPr>
      </w:pPr>
    </w:p>
    <w:p>
      <w:pPr>
        <w:widowControl/>
        <w:jc w:val="center"/>
        <w:rPr>
          <w:rFonts w:hint="eastAsia" w:asciiTheme="majorEastAsia" w:hAnsiTheme="majorEastAsia" w:eastAsiaTheme="majorEastAsia" w:cstheme="majorEastAsia"/>
          <w:b/>
          <w:bCs/>
          <w:spacing w:val="17"/>
          <w:kern w:val="0"/>
          <w:sz w:val="44"/>
          <w:szCs w:val="44"/>
          <w:u w:val="none"/>
          <w:lang w:val="en-US" w:eastAsia="zh-CN"/>
        </w:rPr>
      </w:pPr>
      <w:r>
        <w:rPr>
          <w:rFonts w:hint="eastAsia" w:ascii="仿宋" w:hAnsi="仿宋" w:eastAsia="仿宋" w:cs="仿宋"/>
          <w:color w:val="00B050"/>
          <w:spacing w:val="23"/>
          <w:kern w:val="0"/>
          <w:sz w:val="32"/>
          <w:szCs w:val="32"/>
          <w:lang w:val="en-US" w:eastAsia="zh-CN"/>
        </w:rPr>
        <w:t>＊＊＊＊＊＊＊＊＊＊＊＊＊＊＊＊＊＊＊＊＊＊＊＊</w:t>
      </w:r>
      <w:r>
        <w:rPr>
          <w:rFonts w:hint="eastAsia" w:asciiTheme="majorEastAsia" w:hAnsiTheme="majorEastAsia" w:eastAsiaTheme="majorEastAsia" w:cstheme="majorEastAsia"/>
          <w:b/>
          <w:bCs/>
          <w:spacing w:val="17"/>
          <w:kern w:val="0"/>
          <w:sz w:val="44"/>
          <w:szCs w:val="44"/>
          <w:u w:val="none"/>
          <w:lang w:val="en-US" w:eastAsia="zh-CN"/>
        </w:rPr>
        <w:t>协会召开第四届理事第八次会长办公会议</w:t>
      </w:r>
    </w:p>
    <w:p>
      <w:pPr>
        <w:widowControl/>
        <w:rPr>
          <w:rFonts w:hint="eastAsia" w:ascii="仿宋" w:hAnsi="仿宋" w:eastAsia="仿宋" w:cs="仿宋"/>
          <w:color w:val="00B050"/>
          <w:spacing w:val="23"/>
          <w:kern w:val="0"/>
          <w:sz w:val="32"/>
          <w:szCs w:val="32"/>
          <w:lang w:val="en-US" w:eastAsia="zh-CN"/>
        </w:rPr>
      </w:pPr>
      <w:r>
        <w:rPr>
          <w:rFonts w:hint="eastAsia" w:ascii="仿宋" w:hAnsi="仿宋" w:eastAsia="仿宋" w:cs="仿宋"/>
          <w:color w:val="00B050"/>
          <w:spacing w:val="23"/>
          <w:kern w:val="0"/>
          <w:sz w:val="32"/>
          <w:szCs w:val="32"/>
          <w:lang w:val="en-US" w:eastAsia="zh-CN"/>
        </w:rPr>
        <w:t>＊＊＊＊＊＊＊＊＊＊＊＊＊＊＊＊＊＊＊＊＊＊＊＊</w:t>
      </w:r>
    </w:p>
    <w:p>
      <w:pPr>
        <w:widowControl/>
        <w:jc w:val="center"/>
        <w:rPr>
          <w:rFonts w:hint="eastAsia" w:ascii="仿宋" w:hAnsi="仿宋" w:eastAsia="仿宋" w:cs="仿宋"/>
          <w:color w:val="00B050"/>
          <w:spacing w:val="23"/>
          <w:kern w:val="0"/>
          <w:sz w:val="32"/>
          <w:szCs w:val="32"/>
          <w:lang w:val="en-US" w:eastAsia="zh-CN"/>
        </w:rPr>
      </w:pP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55880</wp:posOffset>
            </wp:positionH>
            <wp:positionV relativeFrom="paragraph">
              <wp:posOffset>241300</wp:posOffset>
            </wp:positionV>
            <wp:extent cx="2974975" cy="3308985"/>
            <wp:effectExtent l="0" t="0" r="15875" b="5715"/>
            <wp:wrapSquare wrapText="bothSides"/>
            <wp:docPr id="4" name="图片 4" descr="微信图片_2022011115503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111155034_看图王"/>
                    <pic:cNvPicPr>
                      <a:picLocks noChangeAspect="1"/>
                    </pic:cNvPicPr>
                  </pic:nvPicPr>
                  <pic:blipFill>
                    <a:blip r:embed="rId14"/>
                    <a:stretch>
                      <a:fillRect/>
                    </a:stretch>
                  </pic:blipFill>
                  <pic:spPr>
                    <a:xfrm>
                      <a:off x="0" y="0"/>
                      <a:ext cx="2974975" cy="33089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Theme="minorEastAsia"/>
          <w:spacing w:val="0"/>
          <w:kern w:val="21"/>
          <w:sz w:val="32"/>
          <w:szCs w:val="32"/>
          <w:lang w:val="en-US" w:eastAsia="zh-CN"/>
        </w:rPr>
      </w:pPr>
      <w:r>
        <w:rPr>
          <w:rFonts w:hint="eastAsia"/>
          <w:sz w:val="32"/>
          <w:szCs w:val="32"/>
          <w:lang w:val="en-US" w:eastAsia="zh-CN"/>
        </w:rPr>
        <w:t>协会第四届理事第八次会长办公会议，于2022年1月7日下午，在福建省五建建设集团有限公司泉州市正骨医院(北峰院区)项目部会议室召开。李晖会长主持会议，林志泉监事长、李建梁副会长兼秘书长、副会长等27人出席</w:t>
      </w:r>
      <w:r>
        <w:rPr>
          <w:rFonts w:hint="eastAsia"/>
          <w:sz w:val="32"/>
          <w:szCs w:val="32"/>
          <w:lang w:val="en-US" w:eastAsia="zh-CN"/>
        </w:rPr>
        <w:drawing>
          <wp:anchor distT="0" distB="0" distL="114300" distR="114300" simplePos="0" relativeHeight="251664384" behindDoc="0" locked="0" layoutInCell="1" allowOverlap="1">
            <wp:simplePos x="0" y="0"/>
            <wp:positionH relativeFrom="column">
              <wp:posOffset>1769110</wp:posOffset>
            </wp:positionH>
            <wp:positionV relativeFrom="paragraph">
              <wp:posOffset>585470</wp:posOffset>
            </wp:positionV>
            <wp:extent cx="3981450" cy="4991100"/>
            <wp:effectExtent l="0" t="0" r="0" b="0"/>
            <wp:wrapSquare wrapText="bothSides"/>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15"/>
                    <a:stretch>
                      <a:fillRect/>
                    </a:stretch>
                  </pic:blipFill>
                  <pic:spPr>
                    <a:xfrm>
                      <a:off x="0" y="0"/>
                      <a:ext cx="3981450" cy="4991100"/>
                    </a:xfrm>
                    <a:prstGeom prst="rect">
                      <a:avLst/>
                    </a:prstGeom>
                  </pic:spPr>
                </pic:pic>
              </a:graphicData>
            </a:graphic>
          </wp:anchor>
        </w:drawing>
      </w:r>
      <w:r>
        <w:rPr>
          <w:rFonts w:hint="eastAsia"/>
          <w:sz w:val="32"/>
          <w:szCs w:val="32"/>
          <w:lang w:val="en-US" w:eastAsia="zh-CN"/>
        </w:rPr>
        <w:t>了会议，会议讨论审议了专题议案《泉州市建设工程质量安全协会关于进一步规范泉州市建设工程市级优质工程</w:t>
      </w:r>
      <w:bookmarkStart w:id="4" w:name="OLE_LINK1"/>
      <w:r>
        <w:rPr>
          <w:rFonts w:hint="eastAsia"/>
          <w:sz w:val="32"/>
          <w:szCs w:val="32"/>
          <w:lang w:val="en-US" w:eastAsia="zh-CN"/>
        </w:rPr>
        <w:t>（</w:t>
      </w:r>
      <w:r>
        <w:rPr>
          <w:rFonts w:hint="eastAsia"/>
          <w:sz w:val="32"/>
          <w:szCs w:val="32"/>
          <w:lang w:val="en-US" w:eastAsia="zh-CN"/>
        </w:rPr>
        <w:t>刺桐杯</w:t>
      </w:r>
      <w:r>
        <w:rPr>
          <w:rFonts w:hint="eastAsia"/>
          <w:sz w:val="32"/>
          <w:szCs w:val="32"/>
          <w:lang w:val="en-US" w:eastAsia="zh-CN"/>
        </w:rPr>
        <w:t>）</w:t>
      </w:r>
      <w:bookmarkEnd w:id="4"/>
      <w:r>
        <w:rPr>
          <w:rFonts w:hint="eastAsia"/>
          <w:sz w:val="32"/>
          <w:szCs w:val="32"/>
          <w:lang w:val="en-US" w:eastAsia="zh-CN"/>
        </w:rPr>
        <w:t>评审工作的通知》，吴端炬常</w:t>
      </w:r>
      <w:r>
        <w:rPr>
          <w:rFonts w:hint="eastAsia" w:eastAsiaTheme="minorEastAsia"/>
          <w:spacing w:val="0"/>
          <w:kern w:val="21"/>
          <w:sz w:val="32"/>
          <w:szCs w:val="32"/>
          <w:lang w:val="en-US" w:eastAsia="zh-CN"/>
        </w:rPr>
        <w:t>务副秘书长在会上对修改市优质工程</w:t>
      </w:r>
      <w:r>
        <w:rPr>
          <w:rFonts w:hint="eastAsia"/>
          <w:sz w:val="32"/>
          <w:szCs w:val="32"/>
          <w:lang w:val="en-US" w:eastAsia="zh-CN"/>
        </w:rPr>
        <w:t>（</w:t>
      </w:r>
      <w:r>
        <w:rPr>
          <w:rFonts w:hint="eastAsia" w:eastAsiaTheme="minorEastAsia"/>
          <w:spacing w:val="0"/>
          <w:kern w:val="21"/>
          <w:sz w:val="32"/>
          <w:szCs w:val="32"/>
          <w:lang w:val="en-US" w:eastAsia="zh-CN"/>
        </w:rPr>
        <w:t>刺桐杯</w:t>
      </w:r>
      <w:r>
        <w:rPr>
          <w:rFonts w:hint="eastAsia"/>
          <w:sz w:val="32"/>
          <w:szCs w:val="32"/>
          <w:lang w:val="en-US" w:eastAsia="zh-CN"/>
        </w:rPr>
        <w:t>）</w:t>
      </w:r>
      <w:r>
        <w:rPr>
          <w:rFonts w:hint="eastAsia" w:eastAsiaTheme="minorEastAsia"/>
          <w:spacing w:val="0"/>
          <w:kern w:val="21"/>
          <w:sz w:val="32"/>
          <w:szCs w:val="32"/>
          <w:lang w:val="en-US" w:eastAsia="zh-CN"/>
        </w:rPr>
        <w:t>评审工作有关条款作了说明，会上各位领导成员先后发表意见，对专题议案“1、申报项目地基与基础工程、主体结构工程应严格执行《建筑工程施工质量验收统一标准GB5030―2013》进行验收，经各方验收合格后，由各申报单位书面通知协会对项目进行施工质量评价及创优指导，评价指导意见书面存档并告知施工单位，评价指导意见作为申报泉州市刺桐杯优质工程评审的重要依据之一，评价指导工作由市质量安全协会组织开展并仅对会员单位服务。2、该通知从2022年1月1日开始执行。在此之前，已加入泉州市建设工程质量安全协会的会员单位，申报市优质工程评审的项目质量水平符合《建筑工程施工质量评价标准GB/T50375―2016》的工程同意申报2021年度泉州市刺桐杯优质工程的评审。”条款，一致达成共识，经全体讨论审议，表决通过有关评审工作增加条款内容，顺利完成会议议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Theme="minorEastAsia"/>
          <w:spacing w:val="0"/>
          <w:kern w:val="21"/>
          <w:sz w:val="32"/>
          <w:szCs w:val="32"/>
          <w:lang w:val="en-US" w:eastAsia="zh-CN"/>
        </w:rPr>
      </w:pP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drawing>
          <wp:inline distT="0" distB="0" distL="114300" distR="114300">
            <wp:extent cx="4558030" cy="3302635"/>
            <wp:effectExtent l="0" t="0" r="13970" b="12065"/>
            <wp:docPr id="3" name="图片 3" descr="C:/Users/Administrator/AppData/Local/Temp/picturecompress_202201111613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20111161341/output_1.jpgoutput_1"/>
                    <pic:cNvPicPr>
                      <a:picLocks noChangeAspect="1"/>
                    </pic:cNvPicPr>
                  </pic:nvPicPr>
                  <pic:blipFill>
                    <a:blip r:embed="rId16"/>
                    <a:stretch>
                      <a:fillRect/>
                    </a:stretch>
                  </pic:blipFill>
                  <pic:spPr>
                    <a:xfrm>
                      <a:off x="0" y="0"/>
                      <a:ext cx="4558030" cy="3302635"/>
                    </a:xfrm>
                    <a:prstGeom prst="rect">
                      <a:avLst/>
                    </a:prstGeom>
                  </pic:spPr>
                </pic:pic>
              </a:graphicData>
            </a:graphic>
          </wp:inline>
        </w:drawing>
      </w:r>
    </w:p>
    <w:p/>
    <w:sectPr>
      <w:footerReference r:id="rId3" w:type="default"/>
      <w:pgSz w:w="11906" w:h="16838"/>
      <w:pgMar w:top="1417" w:right="1426" w:bottom="1341" w:left="146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叶根友毛笔行书2.0版">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dit="readOnly" w:formatting="1" w:enforcement="1" w:cryptProviderType="rsaFull" w:cryptAlgorithmClass="hash" w:cryptAlgorithmType="typeAny" w:cryptAlgorithmSid="4" w:cryptSpinCount="0" w:hash="IoGWYEDxB1yS6O5DbTebiMvDLpw=" w:salt="lwlMwJD4P2t02hBgaNxtY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75383C"/>
    <w:rsid w:val="08070A00"/>
    <w:rsid w:val="164E2645"/>
    <w:rsid w:val="4B2025EC"/>
    <w:rsid w:val="68753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2022-01-20T09:06:00Z</dcterms:created>
  <dc:creator>泉州建设质量安全协会</dc:creator>
  <cp:lastModifiedBy>泉州建设质量安全协会</cp:lastModifiedBy>
  <dcterms:modified xsi:type="dcterms:W3CDTF">2022-01-20T09:56:03Z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7448A6CC6E714C8CB57EF9B08536A8E1</vt:lpwstr>
  </property>
</Properties>
</file>